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D1" w:rsidRPr="00D10E8B" w:rsidRDefault="00A81015" w:rsidP="00D10E8B">
      <w:pPr>
        <w:pStyle w:val="NoSpacing"/>
        <w:rPr>
          <w:b/>
        </w:rPr>
      </w:pPr>
      <w:r w:rsidRPr="00D10E8B">
        <w:rPr>
          <w:b/>
        </w:rPr>
        <w:t>Treasurer’s Report</w:t>
      </w:r>
      <w:r w:rsidR="00D10E8B" w:rsidRPr="00D10E8B">
        <w:rPr>
          <w:b/>
        </w:rPr>
        <w:t xml:space="preserve"> </w:t>
      </w:r>
      <w:r w:rsidR="007A31EB">
        <w:rPr>
          <w:b/>
        </w:rPr>
        <w:t>on</w:t>
      </w:r>
      <w:r w:rsidR="00E30FB3">
        <w:rPr>
          <w:b/>
        </w:rPr>
        <w:t xml:space="preserve"> </w:t>
      </w:r>
      <w:r w:rsidR="00F359F8">
        <w:rPr>
          <w:b/>
        </w:rPr>
        <w:t>SIRA’s Dec</w:t>
      </w:r>
      <w:r w:rsidR="00480D03">
        <w:rPr>
          <w:b/>
        </w:rPr>
        <w:t>em</w:t>
      </w:r>
      <w:r w:rsidR="00891CA8">
        <w:rPr>
          <w:b/>
        </w:rPr>
        <w:t>ber</w:t>
      </w:r>
      <w:r w:rsidR="00A254BB">
        <w:rPr>
          <w:b/>
        </w:rPr>
        <w:t xml:space="preserve"> 2016</w:t>
      </w:r>
      <w:r w:rsidR="00891CA8">
        <w:rPr>
          <w:b/>
        </w:rPr>
        <w:t xml:space="preserve"> accounts</w:t>
      </w:r>
    </w:p>
    <w:p w:rsidR="00147158" w:rsidRDefault="00147158" w:rsidP="00D10E8B">
      <w:pPr>
        <w:pStyle w:val="NoSpacing"/>
      </w:pPr>
    </w:p>
    <w:p w:rsidR="00147158" w:rsidRDefault="00E81FC9" w:rsidP="00D10E8B">
      <w:pPr>
        <w:pStyle w:val="NoSpacing"/>
      </w:pPr>
      <w:r>
        <w:t>Dear C</w:t>
      </w:r>
      <w:r w:rsidR="00147158">
        <w:t>ommittee</w:t>
      </w:r>
    </w:p>
    <w:p w:rsidR="00765C42" w:rsidRDefault="00147158" w:rsidP="00D10E8B">
      <w:pPr>
        <w:pStyle w:val="NoSpacing"/>
      </w:pPr>
      <w:r>
        <w:t>Attached</w:t>
      </w:r>
      <w:r w:rsidR="00D10E8B">
        <w:t xml:space="preserve"> </w:t>
      </w:r>
      <w:r>
        <w:t xml:space="preserve">are </w:t>
      </w:r>
      <w:r w:rsidR="0001280D">
        <w:t>Management A</w:t>
      </w:r>
      <w:r w:rsidR="00A81015">
        <w:t>ccounts</w:t>
      </w:r>
      <w:r w:rsidR="003C475C">
        <w:t xml:space="preserve"> for the a</w:t>
      </w:r>
      <w:r w:rsidR="00E30FB3">
        <w:t>ss</w:t>
      </w:r>
      <w:r w:rsidR="00F359F8">
        <w:t>ociation for the month of Dec</w:t>
      </w:r>
      <w:r w:rsidR="00480D03">
        <w:t>em</w:t>
      </w:r>
      <w:r w:rsidR="00891CA8">
        <w:t>ber</w:t>
      </w:r>
      <w:r w:rsidR="00A649E2">
        <w:t xml:space="preserve"> 2016</w:t>
      </w:r>
      <w:r w:rsidR="00F359F8">
        <w:t xml:space="preserve"> and for the six</w:t>
      </w:r>
      <w:r w:rsidR="00480D03">
        <w:t xml:space="preserve"> </w:t>
      </w:r>
      <w:r w:rsidR="00094A77">
        <w:t xml:space="preserve">months </w:t>
      </w:r>
      <w:r w:rsidR="00480D03">
        <w:t>of the</w:t>
      </w:r>
      <w:r w:rsidR="00F359F8">
        <w:t xml:space="preserve"> current financial year up to 31 Dec</w:t>
      </w:r>
      <w:r w:rsidR="00480D03">
        <w:t>em</w:t>
      </w:r>
      <w:r w:rsidR="00094A77">
        <w:t>ber 2016</w:t>
      </w:r>
      <w:r w:rsidR="009801D3">
        <w:t>.</w:t>
      </w:r>
    </w:p>
    <w:p w:rsidR="00E30FB3" w:rsidRDefault="00E30FB3" w:rsidP="00D10E8B">
      <w:pPr>
        <w:pStyle w:val="NoSpacing"/>
      </w:pPr>
    </w:p>
    <w:p w:rsidR="00094A77" w:rsidRDefault="00891CA8" w:rsidP="00D10E8B">
      <w:pPr>
        <w:pStyle w:val="NoSpacing"/>
      </w:pPr>
      <w:r>
        <w:t xml:space="preserve">In summary, </w:t>
      </w:r>
      <w:r w:rsidR="00094A77">
        <w:t xml:space="preserve">the </w:t>
      </w:r>
      <w:r w:rsidR="00F359F8">
        <w:t>financial results for those six</w:t>
      </w:r>
      <w:r w:rsidR="00094A77">
        <w:t xml:space="preserve"> months </w:t>
      </w:r>
      <w:r w:rsidR="00F359F8">
        <w:t>are very</w:t>
      </w:r>
      <w:r w:rsidR="00480D03">
        <w:t xml:space="preserve"> close to budget</w:t>
      </w:r>
      <w:r w:rsidR="00094A77">
        <w:t>. Income targets have been achieved a</w:t>
      </w:r>
      <w:r w:rsidR="00480D03">
        <w:t>nd spending has been in line with expectations</w:t>
      </w:r>
      <w:r w:rsidR="00094A77">
        <w:t>.</w:t>
      </w:r>
    </w:p>
    <w:p w:rsidR="004907D2" w:rsidRDefault="004907D2" w:rsidP="00D10E8B">
      <w:pPr>
        <w:pStyle w:val="NoSpacing"/>
      </w:pPr>
    </w:p>
    <w:p w:rsidR="00C72F5E" w:rsidRDefault="00C72F5E" w:rsidP="00D10E8B">
      <w:pPr>
        <w:pStyle w:val="NoSpacing"/>
      </w:pPr>
    </w:p>
    <w:p w:rsidR="00C72F5E" w:rsidRPr="00C72F5E" w:rsidRDefault="00C72F5E" w:rsidP="00D10E8B">
      <w:pPr>
        <w:pStyle w:val="NoSpacing"/>
        <w:rPr>
          <w:b/>
          <w:i/>
        </w:rPr>
      </w:pPr>
      <w:r w:rsidRPr="00C72F5E">
        <w:rPr>
          <w:b/>
          <w:i/>
        </w:rPr>
        <w:t>Tab marked ‘P&amp;L with YTD’</w:t>
      </w:r>
    </w:p>
    <w:p w:rsidR="00C72F5E" w:rsidRDefault="00C72F5E" w:rsidP="00D10E8B">
      <w:pPr>
        <w:pStyle w:val="NoSpacing"/>
      </w:pPr>
      <w:r>
        <w:t>Thi</w:t>
      </w:r>
      <w:r w:rsidR="00E81FC9">
        <w:t>s shows the full month result;</w:t>
      </w:r>
      <w:r w:rsidR="00480D03">
        <w:t xml:space="preserve"> a net </w:t>
      </w:r>
      <w:r w:rsidR="00F359F8" w:rsidRPr="00F359F8">
        <w:t>gain</w:t>
      </w:r>
      <w:r w:rsidR="00094A77">
        <w:t xml:space="preserve"> </w:t>
      </w:r>
      <w:r w:rsidR="00F359F8">
        <w:t>of $1,834</w:t>
      </w:r>
      <w:r w:rsidR="00480D03">
        <w:t xml:space="preserve"> on a turnover of </w:t>
      </w:r>
      <w:r w:rsidR="00387623">
        <w:t>$10,534. This is added to</w:t>
      </w:r>
      <w:r w:rsidR="00267F3A">
        <w:t xml:space="preserve"> the previous month’s carry forward</w:t>
      </w:r>
      <w:r>
        <w:t xml:space="preserve"> result to give </w:t>
      </w:r>
      <w:r w:rsidR="00387623">
        <w:t>a year-to-date surplus of $5,354</w:t>
      </w:r>
      <w:r>
        <w:t xml:space="preserve">. </w:t>
      </w:r>
    </w:p>
    <w:p w:rsidR="00480D03" w:rsidRDefault="00480D03" w:rsidP="00D10E8B">
      <w:pPr>
        <w:pStyle w:val="NoSpacing"/>
      </w:pPr>
    </w:p>
    <w:p w:rsidR="00F50432" w:rsidRPr="00F50432" w:rsidRDefault="00387623" w:rsidP="00D10E8B">
      <w:pPr>
        <w:pStyle w:val="NoSpacing"/>
        <w:rPr>
          <w:b/>
          <w:i/>
        </w:rPr>
      </w:pPr>
      <w:r>
        <w:rPr>
          <w:b/>
          <w:i/>
        </w:rPr>
        <w:t>Tabs marked ‘Dec</w:t>
      </w:r>
      <w:r w:rsidR="00F50432" w:rsidRPr="00F50432">
        <w:rPr>
          <w:b/>
          <w:i/>
        </w:rPr>
        <w:t xml:space="preserve"> P&amp;L with budget’</w:t>
      </w:r>
      <w:r>
        <w:rPr>
          <w:b/>
          <w:i/>
        </w:rPr>
        <w:t xml:space="preserve"> and ‘YTD P&amp;L with budget’</w:t>
      </w:r>
    </w:p>
    <w:p w:rsidR="00F50432" w:rsidRDefault="00387623" w:rsidP="00D10E8B">
      <w:pPr>
        <w:pStyle w:val="NoSpacing"/>
      </w:pPr>
      <w:r>
        <w:t xml:space="preserve">After a slow start to the financial year, water sales have caught up to and surpassed budget. December was not a dry month, but the previous months were, so there is possibly a time lag between rainfall and its impact on water demand. It may also have been rain that was in deluges, came suddenly, or was in some other pattern that is not conducive to easy water collection. </w:t>
      </w:r>
    </w:p>
    <w:p w:rsidR="00F50432" w:rsidRDefault="00F50432" w:rsidP="00D10E8B">
      <w:pPr>
        <w:pStyle w:val="NoSpacing"/>
      </w:pPr>
      <w:r>
        <w:t>SIRA continues to allow $500 per month as a provision for the non-performance of the SIOCS loan.</w:t>
      </w:r>
    </w:p>
    <w:p w:rsidR="00F50432" w:rsidRDefault="00F50432" w:rsidP="00D10E8B">
      <w:pPr>
        <w:pStyle w:val="NoSpacing"/>
      </w:pPr>
    </w:p>
    <w:p w:rsidR="00F50432" w:rsidRDefault="00387623" w:rsidP="00D10E8B">
      <w:pPr>
        <w:pStyle w:val="NoSpacing"/>
      </w:pPr>
      <w:r>
        <w:t>Invoices for water line clearing and maintenance have not been received, so this may dampen the results when they do come in.</w:t>
      </w:r>
    </w:p>
    <w:p w:rsidR="00387623" w:rsidRDefault="00387623" w:rsidP="00D10E8B">
      <w:pPr>
        <w:pStyle w:val="NoSpacing"/>
      </w:pPr>
    </w:p>
    <w:p w:rsidR="00F50432" w:rsidRDefault="00F50432" w:rsidP="00D10E8B">
      <w:pPr>
        <w:pStyle w:val="NoSpacing"/>
      </w:pPr>
      <w:r>
        <w:t>Pleasingly, the Community Hall is very close to its budget target for income.</w:t>
      </w:r>
    </w:p>
    <w:p w:rsidR="006D6CA7" w:rsidRDefault="006D6CA7" w:rsidP="0001280D">
      <w:pPr>
        <w:pStyle w:val="NoSpacing"/>
      </w:pPr>
    </w:p>
    <w:p w:rsidR="00F50432" w:rsidRPr="00B73284" w:rsidRDefault="00F50432" w:rsidP="0001280D">
      <w:pPr>
        <w:pStyle w:val="NoSpacing"/>
        <w:rPr>
          <w:b/>
          <w:i/>
        </w:rPr>
      </w:pPr>
      <w:r w:rsidRPr="00B73284">
        <w:rPr>
          <w:b/>
          <w:i/>
        </w:rPr>
        <w:t>Tab marked ‘P&amp;L by Activity’</w:t>
      </w:r>
    </w:p>
    <w:p w:rsidR="00F50432" w:rsidRDefault="00F50432" w:rsidP="0001280D">
      <w:pPr>
        <w:pStyle w:val="NoSpacing"/>
      </w:pPr>
      <w:r>
        <w:t xml:space="preserve">This </w:t>
      </w:r>
      <w:r w:rsidR="00B73284">
        <w:t>tab shows the organisation result split up by activity. It shows that SIRA is still quite dependent on its water activity to make the other activities viable.</w:t>
      </w:r>
    </w:p>
    <w:p w:rsidR="00696FB3" w:rsidRDefault="00696FB3" w:rsidP="0001280D">
      <w:pPr>
        <w:pStyle w:val="NoSpacing"/>
      </w:pPr>
    </w:p>
    <w:p w:rsidR="00A2566D" w:rsidRPr="00DB657B" w:rsidRDefault="00151190" w:rsidP="0001280D">
      <w:pPr>
        <w:pStyle w:val="NoSpacing"/>
        <w:rPr>
          <w:b/>
          <w:i/>
        </w:rPr>
      </w:pPr>
      <w:r>
        <w:rPr>
          <w:b/>
          <w:i/>
        </w:rPr>
        <w:t>Tab marked ‘Balance sheet’</w:t>
      </w:r>
    </w:p>
    <w:p w:rsidR="00DB657B" w:rsidRDefault="00DB657B" w:rsidP="0001280D">
      <w:pPr>
        <w:pStyle w:val="NoSpacing"/>
      </w:pPr>
      <w:r>
        <w:t>SIRA enjoys a strong ass</w:t>
      </w:r>
      <w:r w:rsidR="001E5A3F">
        <w:t>et s</w:t>
      </w:r>
      <w:r w:rsidR="005D2F02">
        <w:t>ituation (net assets of $</w:t>
      </w:r>
      <w:r w:rsidR="00387623">
        <w:t>133,541</w:t>
      </w:r>
      <w:bookmarkStart w:id="0" w:name="_GoBack"/>
      <w:bookmarkEnd w:id="0"/>
      <w:r w:rsidR="001E5A3F">
        <w:t>). The association is solvent.</w:t>
      </w:r>
    </w:p>
    <w:p w:rsidR="0072284B" w:rsidRDefault="0072284B" w:rsidP="0001280D">
      <w:pPr>
        <w:pStyle w:val="NoSpacing"/>
      </w:pPr>
    </w:p>
    <w:p w:rsidR="009801D3" w:rsidRDefault="009801D3" w:rsidP="0001280D">
      <w:pPr>
        <w:pStyle w:val="NoSpacing"/>
      </w:pPr>
    </w:p>
    <w:p w:rsidR="009801D3" w:rsidRPr="009801D3" w:rsidRDefault="00891CA8" w:rsidP="0001280D">
      <w:pPr>
        <w:pStyle w:val="NoSpacing"/>
        <w:rPr>
          <w:b/>
          <w:i/>
        </w:rPr>
      </w:pPr>
      <w:r>
        <w:rPr>
          <w:b/>
          <w:i/>
        </w:rPr>
        <w:t>Forthcoming events</w:t>
      </w:r>
    </w:p>
    <w:p w:rsidR="009801D3" w:rsidRDefault="00B73284" w:rsidP="0001280D">
      <w:pPr>
        <w:pStyle w:val="NoSpacing"/>
      </w:pPr>
      <w:r>
        <w:t>I’m not aware of any future events that would substantially differ from the budget for the remainder of the financial year.</w:t>
      </w:r>
    </w:p>
    <w:p w:rsidR="00A07EE3" w:rsidRDefault="00A07EE3" w:rsidP="00D10E8B">
      <w:pPr>
        <w:pStyle w:val="NoSpacing"/>
      </w:pPr>
    </w:p>
    <w:p w:rsidR="00297E6F" w:rsidRDefault="00A07EE3" w:rsidP="00D10E8B">
      <w:pPr>
        <w:pStyle w:val="NoSpacing"/>
      </w:pPr>
      <w:r>
        <w:t>Regards</w:t>
      </w:r>
    </w:p>
    <w:p w:rsidR="001235B6" w:rsidRDefault="00A07EE3" w:rsidP="00AE0D63">
      <w:pPr>
        <w:pStyle w:val="NoSpacing"/>
      </w:pPr>
      <w:r>
        <w:t>Boyd Attewell</w:t>
      </w:r>
    </w:p>
    <w:p w:rsidR="001235B6" w:rsidRDefault="001235B6" w:rsidP="002752F9"/>
    <w:p w:rsidR="006C6C97" w:rsidRDefault="006C6C97" w:rsidP="00D10E8B">
      <w:pPr>
        <w:pStyle w:val="NoSpacing"/>
      </w:pPr>
    </w:p>
    <w:sectPr w:rsidR="006C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20387"/>
    <w:multiLevelType w:val="hybridMultilevel"/>
    <w:tmpl w:val="5422FAFE"/>
    <w:lvl w:ilvl="0" w:tplc="77EE772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8180B"/>
    <w:multiLevelType w:val="hybridMultilevel"/>
    <w:tmpl w:val="ABA4628A"/>
    <w:lvl w:ilvl="0" w:tplc="9AF2BB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15"/>
    <w:rsid w:val="0001280D"/>
    <w:rsid w:val="00016A78"/>
    <w:rsid w:val="00094045"/>
    <w:rsid w:val="00094A77"/>
    <w:rsid w:val="000B6C04"/>
    <w:rsid w:val="001235B6"/>
    <w:rsid w:val="00133B8A"/>
    <w:rsid w:val="00147158"/>
    <w:rsid w:val="00151190"/>
    <w:rsid w:val="00172EBE"/>
    <w:rsid w:val="00192060"/>
    <w:rsid w:val="001E1F3D"/>
    <w:rsid w:val="001E5A3F"/>
    <w:rsid w:val="001E72B0"/>
    <w:rsid w:val="0020539A"/>
    <w:rsid w:val="00267F3A"/>
    <w:rsid w:val="002752F9"/>
    <w:rsid w:val="00285F73"/>
    <w:rsid w:val="00297E6F"/>
    <w:rsid w:val="002A14DE"/>
    <w:rsid w:val="002C4061"/>
    <w:rsid w:val="002D5EE5"/>
    <w:rsid w:val="002F3C9D"/>
    <w:rsid w:val="0031020D"/>
    <w:rsid w:val="00341FA8"/>
    <w:rsid w:val="00346C40"/>
    <w:rsid w:val="00387623"/>
    <w:rsid w:val="003A7BBB"/>
    <w:rsid w:val="003C475C"/>
    <w:rsid w:val="0046148F"/>
    <w:rsid w:val="00480D03"/>
    <w:rsid w:val="004907D2"/>
    <w:rsid w:val="004C514E"/>
    <w:rsid w:val="00510D22"/>
    <w:rsid w:val="00512CE9"/>
    <w:rsid w:val="00514519"/>
    <w:rsid w:val="00554BA6"/>
    <w:rsid w:val="00564B32"/>
    <w:rsid w:val="005719AB"/>
    <w:rsid w:val="005D2F02"/>
    <w:rsid w:val="0061010E"/>
    <w:rsid w:val="00623B7F"/>
    <w:rsid w:val="0067097E"/>
    <w:rsid w:val="00675716"/>
    <w:rsid w:val="00691C23"/>
    <w:rsid w:val="00696FB3"/>
    <w:rsid w:val="006C6C97"/>
    <w:rsid w:val="006D6CA7"/>
    <w:rsid w:val="006F6D10"/>
    <w:rsid w:val="00717692"/>
    <w:rsid w:val="0072284B"/>
    <w:rsid w:val="00755070"/>
    <w:rsid w:val="00765C42"/>
    <w:rsid w:val="007719DB"/>
    <w:rsid w:val="007971EE"/>
    <w:rsid w:val="007A31EB"/>
    <w:rsid w:val="007B1760"/>
    <w:rsid w:val="007B17DB"/>
    <w:rsid w:val="007B4F5B"/>
    <w:rsid w:val="007C7040"/>
    <w:rsid w:val="007E3223"/>
    <w:rsid w:val="0082498E"/>
    <w:rsid w:val="00854ABB"/>
    <w:rsid w:val="00873CA2"/>
    <w:rsid w:val="00891CA8"/>
    <w:rsid w:val="008B2CFC"/>
    <w:rsid w:val="008B4395"/>
    <w:rsid w:val="008F5E17"/>
    <w:rsid w:val="00910BC9"/>
    <w:rsid w:val="00966001"/>
    <w:rsid w:val="009754A9"/>
    <w:rsid w:val="009801D3"/>
    <w:rsid w:val="009940A1"/>
    <w:rsid w:val="009A6483"/>
    <w:rsid w:val="009C76C6"/>
    <w:rsid w:val="009E2CCF"/>
    <w:rsid w:val="00A07EE3"/>
    <w:rsid w:val="00A15CCB"/>
    <w:rsid w:val="00A254BB"/>
    <w:rsid w:val="00A2566D"/>
    <w:rsid w:val="00A262E9"/>
    <w:rsid w:val="00A649E2"/>
    <w:rsid w:val="00A81015"/>
    <w:rsid w:val="00A82CD3"/>
    <w:rsid w:val="00AD12D1"/>
    <w:rsid w:val="00AE0D63"/>
    <w:rsid w:val="00AE0F99"/>
    <w:rsid w:val="00AE4B7A"/>
    <w:rsid w:val="00B068F3"/>
    <w:rsid w:val="00B239E1"/>
    <w:rsid w:val="00B25EFD"/>
    <w:rsid w:val="00B73284"/>
    <w:rsid w:val="00B86DB0"/>
    <w:rsid w:val="00BA4333"/>
    <w:rsid w:val="00BC3FAE"/>
    <w:rsid w:val="00BF1A41"/>
    <w:rsid w:val="00C455F6"/>
    <w:rsid w:val="00C72F5E"/>
    <w:rsid w:val="00CB44C6"/>
    <w:rsid w:val="00CD418C"/>
    <w:rsid w:val="00D038A5"/>
    <w:rsid w:val="00D10E8B"/>
    <w:rsid w:val="00D16E13"/>
    <w:rsid w:val="00D17919"/>
    <w:rsid w:val="00D713E1"/>
    <w:rsid w:val="00D71C6C"/>
    <w:rsid w:val="00D84544"/>
    <w:rsid w:val="00D9106B"/>
    <w:rsid w:val="00DB657B"/>
    <w:rsid w:val="00DC41C1"/>
    <w:rsid w:val="00DC4BCA"/>
    <w:rsid w:val="00DC56BC"/>
    <w:rsid w:val="00E078E6"/>
    <w:rsid w:val="00E30FB3"/>
    <w:rsid w:val="00E81FC9"/>
    <w:rsid w:val="00EB193A"/>
    <w:rsid w:val="00F359F8"/>
    <w:rsid w:val="00F4472B"/>
    <w:rsid w:val="00F50432"/>
    <w:rsid w:val="00F53593"/>
    <w:rsid w:val="00FB4F07"/>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5C75C-CBAD-4183-B5B6-A4A6957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97"/>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 w:type="paragraph" w:styleId="ListParagraph">
    <w:name w:val="List Paragraph"/>
    <w:basedOn w:val="Normal"/>
    <w:uiPriority w:val="34"/>
    <w:qFormat/>
    <w:rsid w:val="006C6C97"/>
    <w:pPr>
      <w:ind w:left="720"/>
    </w:pPr>
  </w:style>
  <w:style w:type="character" w:styleId="FollowedHyperlink">
    <w:name w:val="FollowedHyperlink"/>
    <w:basedOn w:val="DefaultParagraphFont"/>
    <w:uiPriority w:val="99"/>
    <w:semiHidden/>
    <w:unhideWhenUsed/>
    <w:rsid w:val="00C72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Attwell</cp:lastModifiedBy>
  <cp:revision>3</cp:revision>
  <dcterms:created xsi:type="dcterms:W3CDTF">2017-01-13T10:16:00Z</dcterms:created>
  <dcterms:modified xsi:type="dcterms:W3CDTF">2017-01-13T11:56:00Z</dcterms:modified>
</cp:coreProperties>
</file>